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26340D" w14:textId="4FC464D7" w:rsidR="00A926E1" w:rsidRDefault="00A926E1">
      <w:pPr>
        <w:rPr>
          <w:rFonts w:ascii="Times New Roman" w:hAnsi="Times New Roman" w:cs="Times New Roman"/>
          <w:sz w:val="24"/>
          <w:szCs w:val="24"/>
        </w:rPr>
      </w:pPr>
    </w:p>
    <w:p w14:paraId="31CDC7B1" w14:textId="77777777" w:rsidR="00A926E1" w:rsidRDefault="00A926E1" w:rsidP="00EF582F">
      <w:pPr>
        <w:kinsoku w:val="0"/>
        <w:overflowPunct w:val="0"/>
        <w:spacing w:before="15" w:line="480" w:lineRule="auto"/>
        <w:ind w:right="144"/>
        <w:jc w:val="both"/>
        <w:textAlignment w:val="baseline"/>
        <w:rPr>
          <w:rFonts w:ascii="Times New Roman" w:hAnsi="Times New Roman" w:cs="Times New Roman"/>
          <w:sz w:val="24"/>
          <w:szCs w:val="24"/>
        </w:rPr>
      </w:pPr>
      <w:bookmarkStart w:id="0" w:name="_GoBack"/>
      <w:bookmarkEnd w:id="0"/>
    </w:p>
    <w:p w14:paraId="4BD24727" w14:textId="77777777" w:rsidR="00A926E1" w:rsidRDefault="00A926E1" w:rsidP="00EF582F">
      <w:pPr>
        <w:kinsoku w:val="0"/>
        <w:overflowPunct w:val="0"/>
        <w:spacing w:before="15" w:line="480" w:lineRule="auto"/>
        <w:ind w:right="144"/>
        <w:jc w:val="both"/>
        <w:textAlignment w:val="baseline"/>
        <w:rPr>
          <w:rFonts w:ascii="Times New Roman" w:hAnsi="Times New Roman" w:cs="Times New Roman"/>
          <w:sz w:val="24"/>
          <w:szCs w:val="24"/>
        </w:rPr>
      </w:pPr>
    </w:p>
    <w:p w14:paraId="1B9C116E" w14:textId="3E728E85" w:rsidR="00A926E1" w:rsidRDefault="00A926E1" w:rsidP="00A926E1">
      <w:pPr>
        <w:kinsoku w:val="0"/>
        <w:overflowPunct w:val="0"/>
        <w:spacing w:before="15" w:line="480" w:lineRule="auto"/>
        <w:ind w:right="144"/>
        <w:jc w:val="center"/>
        <w:textAlignment w:val="baseline"/>
        <w:rPr>
          <w:rFonts w:ascii="Times New Roman" w:hAnsi="Times New Roman" w:cs="Times New Roman"/>
          <w:sz w:val="24"/>
          <w:szCs w:val="24"/>
        </w:rPr>
      </w:pPr>
      <w:r>
        <w:rPr>
          <w:rFonts w:ascii="Times New Roman" w:hAnsi="Times New Roman" w:cs="Times New Roman"/>
          <w:sz w:val="24"/>
          <w:szCs w:val="24"/>
        </w:rPr>
        <w:t>Teen Pregnancy</w:t>
      </w:r>
    </w:p>
    <w:p w14:paraId="7BFB093E" w14:textId="1A8B0F0C" w:rsidR="00A926E1" w:rsidRDefault="00A926E1" w:rsidP="00A926E1">
      <w:pPr>
        <w:kinsoku w:val="0"/>
        <w:overflowPunct w:val="0"/>
        <w:spacing w:before="15" w:line="480" w:lineRule="auto"/>
        <w:ind w:right="144"/>
        <w:jc w:val="center"/>
        <w:textAlignment w:val="baseline"/>
        <w:rPr>
          <w:rFonts w:ascii="Times New Roman" w:hAnsi="Times New Roman" w:cs="Times New Roman"/>
          <w:sz w:val="24"/>
          <w:szCs w:val="24"/>
        </w:rPr>
      </w:pPr>
      <w:r>
        <w:rPr>
          <w:rFonts w:ascii="Times New Roman" w:hAnsi="Times New Roman" w:cs="Times New Roman"/>
          <w:sz w:val="24"/>
          <w:szCs w:val="24"/>
        </w:rPr>
        <w:t>Students Name</w:t>
      </w:r>
    </w:p>
    <w:p w14:paraId="63CD027E" w14:textId="5D007DE8" w:rsidR="00A926E1" w:rsidRDefault="00A926E1" w:rsidP="00A926E1">
      <w:pPr>
        <w:kinsoku w:val="0"/>
        <w:overflowPunct w:val="0"/>
        <w:spacing w:before="15" w:line="480" w:lineRule="auto"/>
        <w:ind w:right="144"/>
        <w:jc w:val="center"/>
        <w:textAlignment w:val="baseline"/>
        <w:rPr>
          <w:rFonts w:ascii="Times New Roman" w:hAnsi="Times New Roman" w:cs="Times New Roman"/>
          <w:sz w:val="24"/>
          <w:szCs w:val="24"/>
        </w:rPr>
      </w:pPr>
      <w:r>
        <w:rPr>
          <w:rFonts w:ascii="Times New Roman" w:hAnsi="Times New Roman" w:cs="Times New Roman"/>
          <w:sz w:val="24"/>
          <w:szCs w:val="24"/>
        </w:rPr>
        <w:t>Institution Affiliation</w:t>
      </w:r>
    </w:p>
    <w:p w14:paraId="62CAF46A" w14:textId="75C0E736" w:rsidR="00A926E1" w:rsidRDefault="00A926E1" w:rsidP="00A926E1">
      <w:pPr>
        <w:kinsoku w:val="0"/>
        <w:overflowPunct w:val="0"/>
        <w:spacing w:before="15" w:line="480" w:lineRule="auto"/>
        <w:ind w:right="144"/>
        <w:jc w:val="center"/>
        <w:textAlignment w:val="baseline"/>
        <w:rPr>
          <w:rFonts w:ascii="Times New Roman" w:hAnsi="Times New Roman" w:cs="Times New Roman"/>
          <w:sz w:val="24"/>
          <w:szCs w:val="24"/>
        </w:rPr>
      </w:pPr>
      <w:r>
        <w:rPr>
          <w:rFonts w:ascii="Times New Roman" w:hAnsi="Times New Roman" w:cs="Times New Roman"/>
          <w:sz w:val="24"/>
          <w:szCs w:val="24"/>
        </w:rPr>
        <w:t>Course Name</w:t>
      </w:r>
    </w:p>
    <w:p w14:paraId="0472F3EA" w14:textId="0AF908F2" w:rsidR="00A926E1" w:rsidRDefault="00A926E1" w:rsidP="00A926E1">
      <w:pPr>
        <w:kinsoku w:val="0"/>
        <w:overflowPunct w:val="0"/>
        <w:spacing w:before="15" w:line="480" w:lineRule="auto"/>
        <w:ind w:right="144"/>
        <w:jc w:val="center"/>
        <w:textAlignment w:val="baseline"/>
        <w:rPr>
          <w:rFonts w:ascii="Times New Roman" w:hAnsi="Times New Roman" w:cs="Times New Roman"/>
          <w:sz w:val="24"/>
          <w:szCs w:val="24"/>
        </w:rPr>
      </w:pPr>
      <w:r>
        <w:rPr>
          <w:rFonts w:ascii="Times New Roman" w:hAnsi="Times New Roman" w:cs="Times New Roman"/>
          <w:sz w:val="24"/>
          <w:szCs w:val="24"/>
        </w:rPr>
        <w:t>Assignment Due Date</w:t>
      </w:r>
    </w:p>
    <w:p w14:paraId="6CC8734C" w14:textId="77777777" w:rsidR="00A926E1" w:rsidRDefault="00A926E1" w:rsidP="00A926E1">
      <w:pPr>
        <w:jc w:val="center"/>
        <w:rPr>
          <w:rFonts w:ascii="Times New Roman" w:hAnsi="Times New Roman" w:cs="Times New Roman"/>
          <w:sz w:val="24"/>
          <w:szCs w:val="24"/>
        </w:rPr>
      </w:pPr>
      <w:r>
        <w:rPr>
          <w:rFonts w:ascii="Times New Roman" w:hAnsi="Times New Roman" w:cs="Times New Roman"/>
          <w:sz w:val="24"/>
          <w:szCs w:val="24"/>
        </w:rPr>
        <w:br w:type="page"/>
      </w:r>
    </w:p>
    <w:p w14:paraId="7C5568A9" w14:textId="6943CA90" w:rsidR="00A926E1" w:rsidRPr="001260D2" w:rsidRDefault="001260D2" w:rsidP="001260D2">
      <w:pPr>
        <w:pStyle w:val="ListParagraph"/>
        <w:numPr>
          <w:ilvl w:val="0"/>
          <w:numId w:val="1"/>
        </w:numPr>
        <w:kinsoku w:val="0"/>
        <w:overflowPunct w:val="0"/>
        <w:spacing w:before="15" w:line="480" w:lineRule="auto"/>
        <w:ind w:right="144"/>
        <w:jc w:val="both"/>
        <w:textAlignment w:val="baseline"/>
        <w:rPr>
          <w:rFonts w:ascii="Times New Roman" w:hAnsi="Times New Roman" w:cs="Times New Roman"/>
          <w:b/>
          <w:bCs/>
          <w:sz w:val="24"/>
          <w:szCs w:val="24"/>
        </w:rPr>
      </w:pPr>
      <w:r w:rsidRPr="001260D2">
        <w:rPr>
          <w:rFonts w:ascii="Times New Roman" w:hAnsi="Times New Roman" w:cs="Times New Roman"/>
          <w:b/>
          <w:bCs/>
          <w:sz w:val="24"/>
          <w:szCs w:val="24"/>
        </w:rPr>
        <w:lastRenderedPageBreak/>
        <w:t>What are some of the factors that put teens at risk of early pregnancy?</w:t>
      </w:r>
    </w:p>
    <w:p w14:paraId="48CDB640" w14:textId="747FE6B0" w:rsidR="00E556A3" w:rsidRPr="00EF582F" w:rsidRDefault="001260D2" w:rsidP="00EF582F">
      <w:pPr>
        <w:kinsoku w:val="0"/>
        <w:overflowPunct w:val="0"/>
        <w:spacing w:before="15"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Low parental educational level is a risk factor for teen pregnancy (Centers for Disease Control, 2015b). Conversely, teens from families with higher parental education levels and are more likely than teens of lower socioeconomic status to delay sexual inter</w:t>
      </w:r>
      <w:r w:rsidRPr="00EF582F">
        <w:rPr>
          <w:rFonts w:ascii="Times New Roman" w:hAnsi="Times New Roman" w:cs="Times New Roman"/>
          <w:sz w:val="24"/>
          <w:szCs w:val="24"/>
        </w:rPr>
        <w:softHyphen/>
        <w:t>course and use contraception (Kirby and LePore, 2007). More highly educated parents to have higher expectations for their children and foster greater internal control. Typically, their children expect to graduate from high school and will view early parenthood as problematic to that goal (Sloup et al., 2009).</w:t>
      </w:r>
    </w:p>
    <w:p w14:paraId="52242137" w14:textId="04534653" w:rsidR="00E556A3" w:rsidRPr="00EF582F" w:rsidRDefault="001260D2" w:rsidP="00EF582F">
      <w:pPr>
        <w:kinsoku w:val="0"/>
        <w:overflowPunct w:val="0"/>
        <w:spacing w:before="43"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 xml:space="preserve">Adolescents who grow up below zoo per cent of the poverty line are twice as likely to get pregnant or impregnate someone (Sloup et al., 2009). Like adolescent mothers, teen fathers often are disadvantaged; disproportionately they come from homes of low socioeconomic status (Mollborn and </w:t>
      </w:r>
      <w:r w:rsidR="003D00ED" w:rsidRPr="00EF582F">
        <w:rPr>
          <w:rFonts w:ascii="Times New Roman" w:hAnsi="Times New Roman" w:cs="Times New Roman"/>
          <w:sz w:val="24"/>
          <w:szCs w:val="24"/>
        </w:rPr>
        <w:t>Love grove</w:t>
      </w:r>
      <w:r w:rsidRPr="00EF582F">
        <w:rPr>
          <w:rFonts w:ascii="Times New Roman" w:hAnsi="Times New Roman" w:cs="Times New Roman"/>
          <w:sz w:val="24"/>
          <w:szCs w:val="24"/>
        </w:rPr>
        <w:t>, 2010. One might find it counterintuitive that most impoverished teens would choose to have families so young. Still, when teens do not anticipate more significant opportunities, they are more likely to have children early.</w:t>
      </w:r>
    </w:p>
    <w:p w14:paraId="4F1B0E3A" w14:textId="6E4F4FDD" w:rsidR="00E556A3" w:rsidRPr="00EF582F" w:rsidRDefault="001260D2" w:rsidP="00EF582F">
      <w:pPr>
        <w:kinsoku w:val="0"/>
        <w:overflowPunct w:val="0"/>
        <w:spacing w:before="18"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 xml:space="preserve">Teen sexual activity is correlated with increased substance use, particularly alcohol. Being under the influence of alcohol and pot increases the chances that a teen will make poor decisions, including engaging in early </w:t>
      </w:r>
      <w:r w:rsidR="00F17CEB" w:rsidRPr="00EF582F">
        <w:rPr>
          <w:rFonts w:ascii="Times New Roman" w:hAnsi="Times New Roman" w:cs="Times New Roman"/>
          <w:sz w:val="24"/>
          <w:szCs w:val="24"/>
        </w:rPr>
        <w:t>Teens, particularly males, who have experienced more severe forms of abuse—such as rape or incest—are at increased risk of teen conception. Fatherhood may be a way for a boy molested by an adult male to assert his masculinity</w:t>
      </w:r>
      <w:r w:rsidRPr="00EF582F">
        <w:rPr>
          <w:rFonts w:ascii="Times New Roman" w:hAnsi="Times New Roman" w:cs="Times New Roman"/>
          <w:sz w:val="24"/>
          <w:szCs w:val="24"/>
        </w:rPr>
        <w:t xml:space="preserve"> sexual activity, have multiple partners, and refrain from using condoms.  </w:t>
      </w:r>
    </w:p>
    <w:p w14:paraId="3663EB29" w14:textId="4AAA821A" w:rsidR="00E556A3" w:rsidRPr="00EF582F" w:rsidRDefault="001260D2" w:rsidP="00EF582F">
      <w:pPr>
        <w:kinsoku w:val="0"/>
        <w:overflowPunct w:val="0"/>
        <w:spacing w:before="18"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teen females become pregnant because they and their teenage boyfriends cannot control their sexual impulses or do not know enough to use contracep</w:t>
      </w:r>
      <w:r w:rsidRPr="00EF582F">
        <w:rPr>
          <w:rFonts w:ascii="Times New Roman" w:hAnsi="Times New Roman" w:cs="Times New Roman"/>
          <w:sz w:val="24"/>
          <w:szCs w:val="24"/>
        </w:rPr>
        <w:softHyphen/>
        <w:t>tion</w:t>
      </w:r>
    </w:p>
    <w:p w14:paraId="3A196DD3" w14:textId="769795F9" w:rsidR="002365AB" w:rsidRPr="00EF582F" w:rsidRDefault="002365AB" w:rsidP="00EF582F">
      <w:pPr>
        <w:spacing w:line="480" w:lineRule="auto"/>
        <w:rPr>
          <w:rFonts w:ascii="Times New Roman" w:hAnsi="Times New Roman" w:cs="Times New Roman"/>
          <w:sz w:val="24"/>
          <w:szCs w:val="24"/>
        </w:rPr>
      </w:pPr>
    </w:p>
    <w:p w14:paraId="7D7ABD7E" w14:textId="2F1C5ADF" w:rsidR="001260D2" w:rsidRPr="001260D2" w:rsidRDefault="001260D2" w:rsidP="001260D2">
      <w:pPr>
        <w:pStyle w:val="ListParagraph"/>
        <w:numPr>
          <w:ilvl w:val="0"/>
          <w:numId w:val="1"/>
        </w:numPr>
        <w:kinsoku w:val="0"/>
        <w:overflowPunct w:val="0"/>
        <w:spacing w:before="15" w:line="480" w:lineRule="auto"/>
        <w:jc w:val="both"/>
        <w:textAlignment w:val="baseline"/>
        <w:rPr>
          <w:rFonts w:ascii="Times New Roman" w:hAnsi="Times New Roman" w:cs="Times New Roman"/>
          <w:b/>
          <w:bCs/>
          <w:spacing w:val="-6"/>
          <w:sz w:val="24"/>
          <w:szCs w:val="24"/>
        </w:rPr>
      </w:pPr>
      <w:r w:rsidRPr="001260D2">
        <w:rPr>
          <w:rFonts w:ascii="Times New Roman" w:hAnsi="Times New Roman" w:cs="Times New Roman"/>
          <w:b/>
          <w:bCs/>
          <w:spacing w:val="-6"/>
          <w:sz w:val="24"/>
          <w:szCs w:val="24"/>
        </w:rPr>
        <w:lastRenderedPageBreak/>
        <w:t>Do you believe that teens that live with two parents are significantly less likely to engage in sexual activity? Explain</w:t>
      </w:r>
    </w:p>
    <w:p w14:paraId="0257C874" w14:textId="2ED005C9" w:rsidR="00976ABE" w:rsidRPr="00EF582F" w:rsidRDefault="001260D2" w:rsidP="00EF582F">
      <w:pPr>
        <w:kinsoku w:val="0"/>
        <w:overflowPunct w:val="0"/>
        <w:spacing w:before="15" w:line="480" w:lineRule="auto"/>
        <w:jc w:val="both"/>
        <w:textAlignment w:val="baseline"/>
        <w:rPr>
          <w:rFonts w:ascii="Times New Roman" w:hAnsi="Times New Roman" w:cs="Times New Roman"/>
          <w:spacing w:val="-6"/>
          <w:sz w:val="24"/>
          <w:szCs w:val="24"/>
        </w:rPr>
      </w:pPr>
      <w:r w:rsidRPr="00EF582F">
        <w:rPr>
          <w:rFonts w:ascii="Times New Roman" w:hAnsi="Times New Roman" w:cs="Times New Roman"/>
          <w:spacing w:val="-6"/>
          <w:sz w:val="24"/>
          <w:szCs w:val="24"/>
        </w:rPr>
        <w:t>Teens that live with two parents are significantly less likely to engage in sexual relations. In a national study, 19 per cent of female teens 15-19 who lived in two-parent homes (either biolog</w:t>
      </w:r>
      <w:r w:rsidRPr="00EF582F">
        <w:rPr>
          <w:rFonts w:ascii="Times New Roman" w:hAnsi="Times New Roman" w:cs="Times New Roman"/>
          <w:spacing w:val="-6"/>
          <w:sz w:val="24"/>
          <w:szCs w:val="24"/>
        </w:rPr>
        <w:softHyphen/>
        <w:t>ical or adoptive) reported having sex within the past three months compared to 31 per cent in living with a stepparent and 35 per cent in single-parent homes. Adolescent males followed a similar pattern: zo per cent in two-parent households, 25 per cent in stepparent families, and 34 per cent living with a single parent had sex within the last three months (Abma et al., 2010, 7). Not surprisingly, higher rates of sexual activity among teens from single-parent homes result in higher teen birth</w:t>
      </w:r>
      <w:r w:rsidRPr="00EF582F">
        <w:rPr>
          <w:rFonts w:ascii="Times New Roman" w:hAnsi="Times New Roman" w:cs="Times New Roman"/>
          <w:spacing w:val="-6"/>
          <w:sz w:val="24"/>
          <w:szCs w:val="24"/>
        </w:rPr>
        <w:softHyphen/>
        <w:t>rates. Teens who live with two parents, either biological or adoptive, are less likely to become parents; 39 per cent of all teen parents stem from two-parent homes while teens that live with only one parent comprise 57 per cent of this population (Sloup et al., 2009, 2). Teens whose mother had them as teenagers are at risk of early parenthood; the role of modelling appears to play a factor in teens making decisions about sexual initiation (Guttmacher Institute, 2002).</w:t>
      </w:r>
    </w:p>
    <w:p w14:paraId="03B966F8" w14:textId="27BAD34C" w:rsidR="001260D2" w:rsidRPr="001260D2" w:rsidRDefault="001260D2" w:rsidP="001260D2">
      <w:pPr>
        <w:pStyle w:val="ListParagraph"/>
        <w:numPr>
          <w:ilvl w:val="0"/>
          <w:numId w:val="1"/>
        </w:numPr>
        <w:kinsoku w:val="0"/>
        <w:overflowPunct w:val="0"/>
        <w:spacing w:before="43" w:line="480" w:lineRule="auto"/>
        <w:ind w:right="144"/>
        <w:jc w:val="both"/>
        <w:textAlignment w:val="baseline"/>
        <w:rPr>
          <w:rFonts w:ascii="Times New Roman" w:hAnsi="Times New Roman" w:cs="Times New Roman"/>
          <w:b/>
          <w:bCs/>
          <w:sz w:val="24"/>
          <w:szCs w:val="24"/>
        </w:rPr>
      </w:pPr>
      <w:bookmarkStart w:id="1" w:name="_Hlk38041905"/>
      <w:r w:rsidRPr="001260D2">
        <w:rPr>
          <w:rFonts w:ascii="Times New Roman" w:hAnsi="Times New Roman" w:cs="Times New Roman"/>
          <w:b/>
          <w:bCs/>
          <w:sz w:val="24"/>
          <w:szCs w:val="24"/>
        </w:rPr>
        <w:t>How can ones socioeconomic status impact their life chances? Please mention at least two examples from the readings.</w:t>
      </w:r>
    </w:p>
    <w:p w14:paraId="623E52BA" w14:textId="2BE94C16" w:rsidR="00222439" w:rsidRPr="00EF582F" w:rsidRDefault="001260D2" w:rsidP="00EF582F">
      <w:pPr>
        <w:kinsoku w:val="0"/>
        <w:overflowPunct w:val="0"/>
        <w:spacing w:before="43"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Teen mothers tend to have limited financial resources; however, a closer look at the mother's pre-pregnancy socioeconomic status reveals that many experienced systemic disadvantages before their pregnancies.</w:t>
      </w:r>
      <w:r w:rsidR="00EF582F">
        <w:rPr>
          <w:rFonts w:ascii="Times New Roman" w:hAnsi="Times New Roman" w:cs="Times New Roman"/>
          <w:sz w:val="24"/>
          <w:szCs w:val="24"/>
        </w:rPr>
        <w:t xml:space="preserve"> </w:t>
      </w:r>
      <w:r w:rsidRPr="00EF582F">
        <w:rPr>
          <w:rFonts w:ascii="Times New Roman" w:hAnsi="Times New Roman" w:cs="Times New Roman"/>
          <w:sz w:val="24"/>
          <w:szCs w:val="24"/>
        </w:rPr>
        <w:t xml:space="preserve">Like adolescent mothers, teen fathers often are disadvantaged; disproportionately they come from homes of low socioeconomic status (Mollborn and Lovegrove, 2010. One might find it counterintuitive that the poorest teens would choose to have families so young. Still, when teens do not anticipate more significant opportunities, they are more likely to have children early. The culture of the neighbourhood itself is a risk factor; youth </w:t>
      </w:r>
      <w:r w:rsidRPr="00EF582F">
        <w:rPr>
          <w:rFonts w:ascii="Times New Roman" w:hAnsi="Times New Roman" w:cs="Times New Roman"/>
          <w:sz w:val="24"/>
          <w:szCs w:val="24"/>
        </w:rPr>
        <w:lastRenderedPageBreak/>
        <w:t xml:space="preserve">who grow up in poor, segregated areas, marred by graffiti, abandoned vehicles, trash and alcohol containers, and cigarette butts have higher rates of teen </w:t>
      </w:r>
      <w:r w:rsidR="003D00ED" w:rsidRPr="00EF582F">
        <w:rPr>
          <w:rFonts w:ascii="Times New Roman" w:hAnsi="Times New Roman" w:cs="Times New Roman"/>
          <w:sz w:val="24"/>
          <w:szCs w:val="24"/>
        </w:rPr>
        <w:t>pregnancy (</w:t>
      </w:r>
      <w:r w:rsidRPr="00EF582F">
        <w:rPr>
          <w:rFonts w:ascii="Times New Roman" w:hAnsi="Times New Roman" w:cs="Times New Roman"/>
          <w:sz w:val="24"/>
          <w:szCs w:val="24"/>
        </w:rPr>
        <w:t xml:space="preserve">Centers for Disease Control, 2015b). The external sense of hopelessness tends to impact </w:t>
      </w:r>
      <w:bookmarkStart w:id="2" w:name="_Hlk38041842"/>
      <w:r w:rsidRPr="00EF582F">
        <w:rPr>
          <w:rFonts w:ascii="Times New Roman" w:hAnsi="Times New Roman" w:cs="Times New Roman"/>
          <w:sz w:val="24"/>
          <w:szCs w:val="24"/>
        </w:rPr>
        <w:t>their aspirations negatively.</w:t>
      </w:r>
    </w:p>
    <w:bookmarkEnd w:id="1"/>
    <w:p w14:paraId="0BF891A6" w14:textId="7952FF0E" w:rsidR="00222439" w:rsidRPr="00EF582F" w:rsidRDefault="001260D2" w:rsidP="00EF582F">
      <w:pPr>
        <w:kinsoku w:val="0"/>
        <w:overflowPunct w:val="0"/>
        <w:spacing w:before="15"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 xml:space="preserve"> Families that do not view an unintended preg</w:t>
      </w:r>
      <w:r w:rsidRPr="00EF582F">
        <w:rPr>
          <w:rFonts w:ascii="Times New Roman" w:hAnsi="Times New Roman" w:cs="Times New Roman"/>
          <w:sz w:val="24"/>
          <w:szCs w:val="24"/>
        </w:rPr>
        <w:softHyphen/>
        <w:t>nancy as interfering with educational or financial opportunities are less likely to socialize their children to avoid early parenthood (Fernandez-Villaverde et al., 2010). Almost half (47%) of Latino-American teens believe that early parenthood does not prevent them, only delays them, from obtaining adult education and employment goals achieving them (Sabatiuk and Flores, 2009).</w:t>
      </w:r>
    </w:p>
    <w:p w14:paraId="7FD4D90F" w14:textId="632F6640" w:rsidR="001260D2" w:rsidRPr="001260D2" w:rsidRDefault="001260D2" w:rsidP="001260D2">
      <w:pPr>
        <w:pStyle w:val="ListParagraph"/>
        <w:numPr>
          <w:ilvl w:val="0"/>
          <w:numId w:val="1"/>
        </w:numPr>
        <w:kinsoku w:val="0"/>
        <w:overflowPunct w:val="0"/>
        <w:spacing w:before="15" w:line="480" w:lineRule="auto"/>
        <w:ind w:right="144"/>
        <w:jc w:val="both"/>
        <w:textAlignment w:val="baseline"/>
        <w:rPr>
          <w:rFonts w:ascii="Times New Roman" w:hAnsi="Times New Roman" w:cs="Times New Roman"/>
          <w:b/>
          <w:bCs/>
          <w:spacing w:val="-2"/>
          <w:sz w:val="24"/>
          <w:szCs w:val="24"/>
        </w:rPr>
      </w:pPr>
      <w:r w:rsidRPr="001260D2">
        <w:rPr>
          <w:rFonts w:ascii="Times New Roman" w:hAnsi="Times New Roman" w:cs="Times New Roman"/>
          <w:b/>
          <w:bCs/>
          <w:spacing w:val="-2"/>
          <w:sz w:val="24"/>
          <w:szCs w:val="24"/>
        </w:rPr>
        <w:t>Mention at least 3 psychological reasons why teens may not use birth control? Please explain and support your answers</w:t>
      </w:r>
    </w:p>
    <w:p w14:paraId="6DA3CB9A" w14:textId="01CAEA62" w:rsidR="001260D2" w:rsidRDefault="001260D2"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r w:rsidRPr="00EF582F">
        <w:rPr>
          <w:rFonts w:ascii="Times New Roman" w:hAnsi="Times New Roman" w:cs="Times New Roman"/>
          <w:spacing w:val="-2"/>
          <w:sz w:val="24"/>
          <w:szCs w:val="24"/>
        </w:rPr>
        <w:t>In making decisions about whether to engage in sexual activity and use contraceptives, teens integrate parental expectations, peer influences, personal ambitions, and believes about their futures. Effective contraceptive use requires comfort with one's body. Younger adolescents have not had time to adjust to raging hormones and changing body images, and they are less likely to use contraception. At first intercourse, 78 per cent of females and 85 per cent of males reported using con</w:t>
      </w:r>
      <w:r w:rsidRPr="00EF582F">
        <w:rPr>
          <w:rFonts w:ascii="Times New Roman" w:hAnsi="Times New Roman" w:cs="Times New Roman"/>
          <w:spacing w:val="-2"/>
          <w:sz w:val="24"/>
          <w:szCs w:val="24"/>
        </w:rPr>
        <w:softHyphen/>
        <w:t xml:space="preserve">traceptives. </w:t>
      </w:r>
    </w:p>
    <w:p w14:paraId="608E509F" w14:textId="4EB7C53F" w:rsidR="00BA379D" w:rsidRDefault="00BA379D"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p>
    <w:p w14:paraId="7B16D86D" w14:textId="3679C5EF" w:rsidR="00BA379D" w:rsidRDefault="00BA379D"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p>
    <w:p w14:paraId="78AB30DF" w14:textId="5A7ECD0D" w:rsidR="00BA379D" w:rsidRDefault="00BA379D"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p>
    <w:p w14:paraId="4D8D573F" w14:textId="4258D877" w:rsidR="00BA379D" w:rsidRDefault="00BA379D"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p>
    <w:p w14:paraId="65751922" w14:textId="58520744" w:rsidR="00BA379D" w:rsidRDefault="00BA379D"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p>
    <w:p w14:paraId="5DED9457" w14:textId="7E60C93C" w:rsidR="00BA379D" w:rsidRDefault="00BA379D"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p>
    <w:p w14:paraId="6214F7C2" w14:textId="0A02E26F" w:rsidR="00BA379D" w:rsidRDefault="00BA379D"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r>
        <w:rPr>
          <w:rFonts w:ascii="Times New Roman" w:hAnsi="Times New Roman" w:cs="Times New Roman"/>
          <w:spacing w:val="-2"/>
          <w:sz w:val="24"/>
          <w:szCs w:val="24"/>
        </w:rPr>
        <w:t>REFERENCES</w:t>
      </w:r>
    </w:p>
    <w:p w14:paraId="2BB57CFD" w14:textId="1BC26EDC" w:rsidR="00BA379D" w:rsidRDefault="00BA379D"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r w:rsidRPr="00BA379D">
        <w:rPr>
          <w:rFonts w:ascii="Times New Roman" w:hAnsi="Times New Roman" w:cs="Times New Roman"/>
          <w:spacing w:val="-2"/>
          <w:sz w:val="24"/>
          <w:szCs w:val="24"/>
        </w:rPr>
        <w:t>Abma, J. C., Martinez, G. M., &amp; Copen, C. E. (2010), “Teenagers in  the United States: Sexual Activity, Contraceptive Use, and  Childbearing, National Survey of Family Growth 2006-2008.” Vital Health Statistics n. 23. Hyattsville, MD: National Center for Health Statistics.</w:t>
      </w:r>
    </w:p>
    <w:p w14:paraId="0D23A79F" w14:textId="493DE80A" w:rsidR="00BA379D" w:rsidRDefault="00BA379D"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r w:rsidRPr="00BA379D">
        <w:rPr>
          <w:rFonts w:ascii="Times New Roman" w:hAnsi="Times New Roman" w:cs="Times New Roman"/>
          <w:spacing w:val="-2"/>
          <w:sz w:val="24"/>
          <w:szCs w:val="24"/>
        </w:rPr>
        <w:t xml:space="preserve">Mollborn, S. (2010). “Exploring Variation Teenage Mothers’ and  Fathers’ Educational Attainment,” Perspectives on Sexual and  Reproductive Health, 42, 152–159. </w:t>
      </w:r>
    </w:p>
    <w:p w14:paraId="66FB9508" w14:textId="665BDD49" w:rsidR="00BA379D" w:rsidRDefault="00BA379D"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r w:rsidRPr="00BA379D">
        <w:rPr>
          <w:rFonts w:ascii="Times New Roman" w:hAnsi="Times New Roman" w:cs="Times New Roman"/>
          <w:spacing w:val="-2"/>
          <w:sz w:val="24"/>
          <w:szCs w:val="24"/>
        </w:rPr>
        <w:t>Kirby, D., &amp; LePore, G. (2007). Sexual Risk and Protective Factors. Washington, DC: National Campaign to Prevent Teen Pregnancy.</w:t>
      </w:r>
    </w:p>
    <w:p w14:paraId="3659C77B" w14:textId="77777777" w:rsidR="001260D2" w:rsidRDefault="001260D2">
      <w:pPr>
        <w:rPr>
          <w:rFonts w:ascii="Times New Roman" w:hAnsi="Times New Roman" w:cs="Times New Roman"/>
          <w:spacing w:val="-2"/>
          <w:sz w:val="24"/>
          <w:szCs w:val="24"/>
        </w:rPr>
      </w:pPr>
      <w:r>
        <w:rPr>
          <w:rFonts w:ascii="Times New Roman" w:hAnsi="Times New Roman" w:cs="Times New Roman"/>
          <w:spacing w:val="-2"/>
          <w:sz w:val="24"/>
          <w:szCs w:val="24"/>
        </w:rPr>
        <w:br w:type="page"/>
      </w:r>
    </w:p>
    <w:p w14:paraId="4AD97A17" w14:textId="77777777" w:rsidR="00222439" w:rsidRPr="00EF582F" w:rsidRDefault="00222439"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p>
    <w:p w14:paraId="57C1EB12" w14:textId="3FC6BF84" w:rsidR="00222439" w:rsidRPr="00EF582F" w:rsidRDefault="00222439" w:rsidP="00EF582F">
      <w:pPr>
        <w:kinsoku w:val="0"/>
        <w:overflowPunct w:val="0"/>
        <w:spacing w:before="15" w:line="480" w:lineRule="auto"/>
        <w:ind w:right="144"/>
        <w:jc w:val="both"/>
        <w:textAlignment w:val="baseline"/>
        <w:rPr>
          <w:rFonts w:ascii="Times New Roman" w:hAnsi="Times New Roman" w:cs="Times New Roman"/>
          <w:sz w:val="24"/>
          <w:szCs w:val="24"/>
        </w:rPr>
      </w:pPr>
    </w:p>
    <w:bookmarkEnd w:id="2"/>
    <w:p w14:paraId="2C63EA4F" w14:textId="77777777" w:rsidR="00222439" w:rsidRPr="00EF582F" w:rsidRDefault="00222439" w:rsidP="00EF582F">
      <w:pPr>
        <w:kinsoku w:val="0"/>
        <w:overflowPunct w:val="0"/>
        <w:spacing w:before="15" w:line="480" w:lineRule="auto"/>
        <w:jc w:val="both"/>
        <w:textAlignment w:val="baseline"/>
        <w:rPr>
          <w:rFonts w:ascii="Times New Roman" w:hAnsi="Times New Roman" w:cs="Times New Roman"/>
          <w:spacing w:val="-6"/>
          <w:sz w:val="24"/>
          <w:szCs w:val="24"/>
        </w:rPr>
      </w:pPr>
    </w:p>
    <w:p w14:paraId="082463E7" w14:textId="77777777" w:rsidR="00976ABE" w:rsidRPr="00EF582F" w:rsidRDefault="00976ABE" w:rsidP="00EF582F">
      <w:pPr>
        <w:spacing w:line="480" w:lineRule="auto"/>
        <w:rPr>
          <w:rFonts w:ascii="Times New Roman" w:hAnsi="Times New Roman" w:cs="Times New Roman"/>
          <w:sz w:val="24"/>
          <w:szCs w:val="24"/>
        </w:rPr>
      </w:pPr>
    </w:p>
    <w:sectPr w:rsidR="00976ABE" w:rsidRPr="00EF582F" w:rsidSect="003D00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6AEB6C" w14:textId="77777777" w:rsidR="00A871C4" w:rsidRDefault="00A871C4" w:rsidP="003D00ED">
      <w:pPr>
        <w:spacing w:after="0" w:line="240" w:lineRule="auto"/>
      </w:pPr>
      <w:r>
        <w:separator/>
      </w:r>
    </w:p>
  </w:endnote>
  <w:endnote w:type="continuationSeparator" w:id="0">
    <w:p w14:paraId="567DD3F0" w14:textId="77777777" w:rsidR="00A871C4" w:rsidRDefault="00A871C4" w:rsidP="003D0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708F56" w14:textId="77777777" w:rsidR="00A871C4" w:rsidRDefault="00A871C4" w:rsidP="003D00ED">
      <w:pPr>
        <w:spacing w:after="0" w:line="240" w:lineRule="auto"/>
      </w:pPr>
      <w:r>
        <w:separator/>
      </w:r>
    </w:p>
  </w:footnote>
  <w:footnote w:type="continuationSeparator" w:id="0">
    <w:p w14:paraId="4B65D599" w14:textId="77777777" w:rsidR="00A871C4" w:rsidRDefault="00A871C4" w:rsidP="003D00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F5607" w14:textId="0AF2D3D0" w:rsidR="003D00ED" w:rsidRDefault="003D00ED">
    <w:pPr>
      <w:pStyle w:val="Header"/>
      <w:jc w:val="right"/>
    </w:pPr>
    <w:r>
      <w:t xml:space="preserve"> TEEN PREGNANCY                                                                                                                                                        </w:t>
    </w:r>
    <w:sdt>
      <w:sdtPr>
        <w:id w:val="-52855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6B1AED" w14:textId="77777777" w:rsidR="003D00ED" w:rsidRDefault="003D00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0DB9D" w14:textId="6E214BCF" w:rsidR="003D00ED" w:rsidRDefault="003D00ED">
    <w:pPr>
      <w:pStyle w:val="Header"/>
    </w:pPr>
    <w:r>
      <w:t>Running Head: TEEN PREGNANCY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D2F6E"/>
    <w:multiLevelType w:val="hybridMultilevel"/>
    <w:tmpl w:val="BF2A6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ABE"/>
    <w:rsid w:val="001260D2"/>
    <w:rsid w:val="00222439"/>
    <w:rsid w:val="002365AB"/>
    <w:rsid w:val="003D00ED"/>
    <w:rsid w:val="00554ECE"/>
    <w:rsid w:val="00976ABE"/>
    <w:rsid w:val="00A871C4"/>
    <w:rsid w:val="00A926E1"/>
    <w:rsid w:val="00BA379D"/>
    <w:rsid w:val="00E556A3"/>
    <w:rsid w:val="00EF582F"/>
    <w:rsid w:val="00F17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DD9F0"/>
  <w15:chartTrackingRefBased/>
  <w15:docId w15:val="{9A8C5589-AC13-43C9-A4D0-6F879904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0D2"/>
    <w:pPr>
      <w:ind w:left="720"/>
      <w:contextualSpacing/>
    </w:pPr>
  </w:style>
  <w:style w:type="paragraph" w:styleId="Header">
    <w:name w:val="header"/>
    <w:basedOn w:val="Normal"/>
    <w:link w:val="HeaderChar"/>
    <w:uiPriority w:val="99"/>
    <w:unhideWhenUsed/>
    <w:rsid w:val="003D0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0ED"/>
  </w:style>
  <w:style w:type="paragraph" w:styleId="Footer">
    <w:name w:val="footer"/>
    <w:basedOn w:val="Normal"/>
    <w:link w:val="FooterChar"/>
    <w:uiPriority w:val="99"/>
    <w:unhideWhenUsed/>
    <w:rsid w:val="003D0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Windows User</cp:lastModifiedBy>
  <cp:revision>2</cp:revision>
  <dcterms:created xsi:type="dcterms:W3CDTF">2020-04-18T09:00:00Z</dcterms:created>
  <dcterms:modified xsi:type="dcterms:W3CDTF">2020-04-18T09:00:00Z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-1393651763</vt:i4>
  </property>
</Properties>
</file>